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BFC" w:rsidRDefault="00E02BFC" w:rsidP="00E02BFC">
      <w:pPr>
        <w:pStyle w:val="a3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E02BFC" w:rsidRDefault="00E02BFC" w:rsidP="00E02BFC">
      <w:pPr>
        <w:pStyle w:val="a3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Парапинского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E02BFC" w:rsidRDefault="00E02BFC" w:rsidP="00E02BFC">
      <w:pPr>
        <w:pStyle w:val="a3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Ковылкинского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E02BFC" w:rsidRDefault="00E02BFC" w:rsidP="00E02BF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E02BFC" w:rsidRDefault="00E02BFC" w:rsidP="00E02BFC">
      <w:pPr>
        <w:pStyle w:val="a3"/>
        <w:rPr>
          <w:b/>
          <w:sz w:val="28"/>
          <w:szCs w:val="28"/>
        </w:rPr>
      </w:pPr>
    </w:p>
    <w:p w:rsidR="00E02BFC" w:rsidRDefault="00E02BFC" w:rsidP="00E02BF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02BFC" w:rsidRDefault="00E02BFC" w:rsidP="00E02BFC">
      <w:pPr>
        <w:pStyle w:val="a3"/>
      </w:pPr>
    </w:p>
    <w:p w:rsidR="00E02BFC" w:rsidRDefault="00E02BFC" w:rsidP="00E02BFC">
      <w:pPr>
        <w:pStyle w:val="a3"/>
      </w:pPr>
    </w:p>
    <w:p w:rsidR="00E02BFC" w:rsidRDefault="00E02BFC" w:rsidP="00E02BFC">
      <w:pPr>
        <w:pStyle w:val="a3"/>
        <w:rPr>
          <w:sz w:val="28"/>
          <w:szCs w:val="28"/>
        </w:rPr>
      </w:pPr>
      <w:r>
        <w:rPr>
          <w:sz w:val="28"/>
          <w:szCs w:val="28"/>
        </w:rPr>
        <w:t>от 18 февраля 2026 года</w:t>
      </w:r>
      <w:r>
        <w:rPr>
          <w:sz w:val="28"/>
          <w:szCs w:val="28"/>
        </w:rPr>
        <w:tab/>
        <w:t xml:space="preserve">                                                                         № 2                                          </w:t>
      </w:r>
    </w:p>
    <w:p w:rsidR="00E02BFC" w:rsidRDefault="00E02BFC" w:rsidP="00E02BFC">
      <w:pPr>
        <w:pStyle w:val="a3"/>
      </w:pPr>
    </w:p>
    <w:p w:rsidR="00E02BFC" w:rsidRDefault="00E02BFC" w:rsidP="00E02BFC">
      <w:pPr>
        <w:pStyle w:val="a3"/>
      </w:pPr>
    </w:p>
    <w:p w:rsidR="00E02BFC" w:rsidRDefault="00E02BFC" w:rsidP="00E02BF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налоге на имущество физических лиц</w:t>
      </w:r>
    </w:p>
    <w:p w:rsidR="00E02BFC" w:rsidRDefault="00E02BFC" w:rsidP="00E02BFC">
      <w:pPr>
        <w:pStyle w:val="a3"/>
      </w:pPr>
    </w:p>
    <w:p w:rsidR="00E02BFC" w:rsidRDefault="00E02BFC" w:rsidP="00E02BFC">
      <w:pPr>
        <w:pStyle w:val="a3"/>
        <w:ind w:left="567" w:firstLine="567"/>
      </w:pPr>
      <w:bookmarkStart w:id="0" w:name="anchor1"/>
      <w:bookmarkEnd w:id="0"/>
      <w:r>
        <w:rPr>
          <w:sz w:val="28"/>
          <w:szCs w:val="28"/>
        </w:rPr>
        <w:t xml:space="preserve">В соответствии Федеральным законом от 20 марта 2025 г. № 33-ФЗ «Об общих принципах организации местного самоуправления в единой системе публичной власти» главой 32 Налогового кодекса Российской Федерации, Совет депутатов </w:t>
      </w:r>
      <w:proofErr w:type="spellStart"/>
      <w:r>
        <w:rPr>
          <w:sz w:val="28"/>
          <w:szCs w:val="28"/>
        </w:rPr>
        <w:t>Парапинского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Ковылкинского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>решил:</w:t>
      </w:r>
    </w:p>
    <w:p w:rsidR="00E02BFC" w:rsidRDefault="00E02BFC" w:rsidP="00E02BFC">
      <w:pPr>
        <w:pStyle w:val="a3"/>
        <w:ind w:left="567" w:firstLine="567"/>
      </w:pPr>
      <w:r>
        <w:rPr>
          <w:sz w:val="28"/>
          <w:szCs w:val="28"/>
        </w:rPr>
        <w:t xml:space="preserve">1. Ввести на территории </w:t>
      </w:r>
      <w:proofErr w:type="spellStart"/>
      <w:r>
        <w:rPr>
          <w:sz w:val="28"/>
          <w:szCs w:val="28"/>
        </w:rPr>
        <w:t>Парапинского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t xml:space="preserve"> </w:t>
      </w:r>
      <w:proofErr w:type="spellStart"/>
      <w:r>
        <w:rPr>
          <w:sz w:val="28"/>
          <w:szCs w:val="28"/>
        </w:rPr>
        <w:t>Ковылкинского</w:t>
      </w:r>
      <w:proofErr w:type="spellEnd"/>
      <w:r>
        <w:rPr>
          <w:sz w:val="28"/>
          <w:szCs w:val="28"/>
        </w:rPr>
        <w:t xml:space="preserve"> муниципального района налог на имущество физических лиц.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bookmarkStart w:id="1" w:name="anchor2"/>
      <w:bookmarkEnd w:id="1"/>
      <w:r>
        <w:rPr>
          <w:sz w:val="28"/>
          <w:szCs w:val="28"/>
        </w:rPr>
        <w:t>2. Установить следующие налоговые ставки в зависимости от кадастровой стоимости объектов недвижимого имущества в размере: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1) 0,1 процента кадастровой стоимости объекта налогообложения в отношении</w:t>
      </w:r>
      <w:bookmarkStart w:id="2" w:name="anchor2012"/>
      <w:bookmarkEnd w:id="2"/>
      <w:r>
        <w:rPr>
          <w:sz w:val="28"/>
          <w:szCs w:val="28"/>
        </w:rPr>
        <w:t xml:space="preserve">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строительства;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2) дифференцированном в зависимости от кадастровой стоимости жилых помещений (квартир, частей квартир, комнат):</w:t>
      </w:r>
    </w:p>
    <w:tbl>
      <w:tblPr>
        <w:tblW w:w="9781" w:type="dxa"/>
        <w:tblInd w:w="5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67"/>
        <w:gridCol w:w="3214"/>
      </w:tblGrid>
      <w:tr w:rsidR="00E02BFC" w:rsidTr="00986885">
        <w:tblPrEx>
          <w:tblCellMar>
            <w:top w:w="0" w:type="dxa"/>
            <w:bottom w:w="0" w:type="dxa"/>
          </w:tblCellMar>
        </w:tblPrEx>
        <w:tc>
          <w:tcPr>
            <w:tcW w:w="6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2BFC" w:rsidRDefault="00E02BFC" w:rsidP="00986885">
            <w:pPr>
              <w:pStyle w:val="a3"/>
              <w:ind w:left="567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Кадастровая стоимость объекта налогообложения</w:t>
            </w:r>
          </w:p>
        </w:tc>
        <w:tc>
          <w:tcPr>
            <w:tcW w:w="321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2BFC" w:rsidRDefault="00E02BFC" w:rsidP="00986885">
            <w:pPr>
              <w:pStyle w:val="a3"/>
              <w:ind w:left="567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Ставка налога</w:t>
            </w:r>
          </w:p>
        </w:tc>
      </w:tr>
      <w:tr w:rsidR="00E02BFC" w:rsidTr="00986885">
        <w:tblPrEx>
          <w:tblCellMar>
            <w:top w:w="0" w:type="dxa"/>
            <w:bottom w:w="0" w:type="dxa"/>
          </w:tblCellMar>
        </w:tblPrEx>
        <w:tc>
          <w:tcPr>
            <w:tcW w:w="6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2BFC" w:rsidRDefault="00E02BFC" w:rsidP="00986885">
            <w:pPr>
              <w:pStyle w:val="a3"/>
              <w:ind w:firstLine="0"/>
              <w:jc w:val="left"/>
              <w:rPr>
                <w:szCs w:val="24"/>
              </w:rPr>
            </w:pPr>
            <w:bookmarkStart w:id="3" w:name="anchor2021"/>
            <w:bookmarkEnd w:id="3"/>
            <w:r>
              <w:rPr>
                <w:szCs w:val="24"/>
              </w:rPr>
              <w:t>До 3 млн. рублей (включительно)</w:t>
            </w:r>
          </w:p>
        </w:tc>
        <w:tc>
          <w:tcPr>
            <w:tcW w:w="321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2BFC" w:rsidRDefault="00E02BFC" w:rsidP="00986885">
            <w:pPr>
              <w:pStyle w:val="a3"/>
              <w:ind w:left="567" w:firstLine="567"/>
              <w:jc w:val="left"/>
              <w:rPr>
                <w:szCs w:val="24"/>
              </w:rPr>
            </w:pPr>
            <w:r>
              <w:rPr>
                <w:szCs w:val="24"/>
              </w:rPr>
              <w:t>0,1%</w:t>
            </w:r>
          </w:p>
        </w:tc>
      </w:tr>
      <w:tr w:rsidR="00E02BFC" w:rsidTr="00986885">
        <w:tblPrEx>
          <w:tblCellMar>
            <w:top w:w="0" w:type="dxa"/>
            <w:bottom w:w="0" w:type="dxa"/>
          </w:tblCellMar>
        </w:tblPrEx>
        <w:tc>
          <w:tcPr>
            <w:tcW w:w="6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2BFC" w:rsidRDefault="00E02BFC" w:rsidP="00986885">
            <w:pPr>
              <w:pStyle w:val="a3"/>
              <w:ind w:firstLine="0"/>
              <w:jc w:val="left"/>
              <w:rPr>
                <w:szCs w:val="24"/>
              </w:rPr>
            </w:pPr>
            <w:bookmarkStart w:id="4" w:name="anchor2022"/>
            <w:bookmarkEnd w:id="4"/>
            <w:r>
              <w:rPr>
                <w:szCs w:val="24"/>
              </w:rPr>
              <w:t>Свыше 3 млн. рублей до 5 млн. рублей (включительно)</w:t>
            </w:r>
          </w:p>
        </w:tc>
        <w:tc>
          <w:tcPr>
            <w:tcW w:w="321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2BFC" w:rsidRDefault="00E02BFC" w:rsidP="00986885">
            <w:pPr>
              <w:pStyle w:val="a3"/>
              <w:ind w:left="567" w:firstLine="567"/>
              <w:jc w:val="left"/>
              <w:rPr>
                <w:szCs w:val="24"/>
              </w:rPr>
            </w:pPr>
            <w:r>
              <w:rPr>
                <w:szCs w:val="24"/>
              </w:rPr>
              <w:t>0,2%</w:t>
            </w:r>
          </w:p>
        </w:tc>
      </w:tr>
      <w:tr w:rsidR="00E02BFC" w:rsidTr="00986885">
        <w:tblPrEx>
          <w:tblCellMar>
            <w:top w:w="0" w:type="dxa"/>
            <w:bottom w:w="0" w:type="dxa"/>
          </w:tblCellMar>
        </w:tblPrEx>
        <w:tc>
          <w:tcPr>
            <w:tcW w:w="6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2BFC" w:rsidRDefault="00E02BFC" w:rsidP="00986885">
            <w:pPr>
              <w:pStyle w:val="a3"/>
              <w:ind w:firstLine="0"/>
              <w:jc w:val="left"/>
              <w:rPr>
                <w:szCs w:val="24"/>
              </w:rPr>
            </w:pPr>
            <w:bookmarkStart w:id="5" w:name="anchor2023"/>
            <w:bookmarkEnd w:id="5"/>
            <w:r>
              <w:rPr>
                <w:szCs w:val="24"/>
              </w:rPr>
              <w:t>Свыше 5 млн. рублей</w:t>
            </w:r>
          </w:p>
        </w:tc>
        <w:tc>
          <w:tcPr>
            <w:tcW w:w="321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2BFC" w:rsidRDefault="00E02BFC" w:rsidP="00986885">
            <w:pPr>
              <w:pStyle w:val="a3"/>
              <w:ind w:left="567" w:firstLine="567"/>
              <w:jc w:val="left"/>
              <w:rPr>
                <w:szCs w:val="24"/>
              </w:rPr>
            </w:pPr>
            <w:r>
              <w:rPr>
                <w:szCs w:val="24"/>
              </w:rPr>
              <w:t>0,3%</w:t>
            </w:r>
          </w:p>
        </w:tc>
      </w:tr>
    </w:tbl>
    <w:p w:rsidR="00E02BFC" w:rsidRDefault="00E02BFC" w:rsidP="00E02BFC">
      <w:pPr>
        <w:pStyle w:val="a3"/>
        <w:ind w:firstLine="0"/>
        <w:rPr>
          <w:sz w:val="28"/>
          <w:szCs w:val="28"/>
          <w:u w:val="single"/>
        </w:rPr>
      </w:pP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3) 0,3 процента кадастровой стоимости объекта налогообложения в отношении: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bookmarkStart w:id="6" w:name="anchor2032"/>
      <w:bookmarkEnd w:id="6"/>
      <w:r>
        <w:rPr>
          <w:sz w:val="28"/>
          <w:szCs w:val="28"/>
        </w:rPr>
        <w:t>жилых домов; частей жилых домов;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единых недвижимых комплексов, в состав которых входит хотя бы одно жилое помещение (жилой дом);</w:t>
      </w:r>
    </w:p>
    <w:p w:rsidR="00E02BFC" w:rsidRDefault="00E02BFC" w:rsidP="00E02BFC">
      <w:pPr>
        <w:pStyle w:val="a3"/>
        <w:ind w:left="567" w:firstLine="567"/>
      </w:pPr>
      <w:bookmarkStart w:id="7" w:name="anchor2034"/>
      <w:bookmarkEnd w:id="7"/>
      <w:r>
        <w:rPr>
          <w:sz w:val="28"/>
          <w:szCs w:val="28"/>
        </w:rPr>
        <w:t xml:space="preserve">гаражей и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 xml:space="preserve">-мест, в том числе расположенных в объектах налогообложения, указанных в </w:t>
      </w:r>
      <w:hyperlink r:id="rId4" w:history="1">
        <w:r>
          <w:rPr>
            <w:sz w:val="28"/>
            <w:szCs w:val="28"/>
          </w:rPr>
          <w:t>подпункте 4</w:t>
        </w:r>
      </w:hyperlink>
      <w:r>
        <w:rPr>
          <w:sz w:val="28"/>
          <w:szCs w:val="28"/>
        </w:rPr>
        <w:t xml:space="preserve"> настоящего пункта;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дом.</w:t>
      </w:r>
    </w:p>
    <w:p w:rsidR="00E02BFC" w:rsidRDefault="00E02BFC" w:rsidP="00E02BFC">
      <w:pPr>
        <w:pStyle w:val="a3"/>
        <w:ind w:left="567" w:firstLine="567"/>
      </w:pPr>
      <w:r>
        <w:rPr>
          <w:sz w:val="28"/>
          <w:szCs w:val="28"/>
        </w:rPr>
        <w:lastRenderedPageBreak/>
        <w:t xml:space="preserve">4) 2,0 процента кадастровой стоимости объекта налогообложения в отношении объектов налогообложения, включенных в перечень, определяемый в соответствии с </w:t>
      </w:r>
      <w:hyperlink r:id="rId5" w:history="1">
        <w:r>
          <w:rPr>
            <w:sz w:val="28"/>
            <w:szCs w:val="28"/>
          </w:rPr>
          <w:t>пунктом 7 статьи 378.2</w:t>
        </w:r>
      </w:hyperlink>
      <w:r>
        <w:rPr>
          <w:sz w:val="28"/>
          <w:szCs w:val="28"/>
        </w:rPr>
        <w:t xml:space="preserve"> Налогового кодекса Российской Федерации, в отношении объектов налогообложения, предусмотренных </w:t>
      </w:r>
      <w:hyperlink r:id="rId6" w:history="1">
        <w:r>
          <w:rPr>
            <w:sz w:val="28"/>
            <w:szCs w:val="28"/>
          </w:rPr>
          <w:t>абзацем вторым пункта 10 статьи 378.2</w:t>
        </w:r>
      </w:hyperlink>
      <w:r>
        <w:rPr>
          <w:sz w:val="28"/>
          <w:szCs w:val="28"/>
        </w:rPr>
        <w:t xml:space="preserve"> Налогового кодекса Российской Федерации.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5)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bookmarkStart w:id="8" w:name="anchor205"/>
      <w:bookmarkEnd w:id="8"/>
      <w:r>
        <w:rPr>
          <w:sz w:val="28"/>
          <w:szCs w:val="28"/>
        </w:rPr>
        <w:t>6) 0,5 процента кадастровой стоимости объекта налогообложения в отношении прочих объектов налогообложения.</w:t>
      </w:r>
    </w:p>
    <w:p w:rsidR="00E02BFC" w:rsidRDefault="00E02BFC" w:rsidP="00E02BFC">
      <w:pPr>
        <w:pStyle w:val="a3"/>
        <w:ind w:left="567" w:firstLine="567"/>
      </w:pPr>
      <w:r>
        <w:rPr>
          <w:sz w:val="28"/>
          <w:szCs w:val="28"/>
        </w:rPr>
        <w:t xml:space="preserve">3. Физические лица - в отношении объектов недвижимого имущества, подлежащих налогообложению исходя из кадастровой стоимости и указанных в пункте 2 настоящего Решения, включенных в перечень, определяемый в соответствии с </w:t>
      </w:r>
      <w:hyperlink r:id="rId7" w:history="1">
        <w:r>
          <w:rPr>
            <w:sz w:val="28"/>
            <w:szCs w:val="28"/>
          </w:rPr>
          <w:t>пунктом 7 статьи 378.2</w:t>
        </w:r>
      </w:hyperlink>
      <w:r>
        <w:rPr>
          <w:sz w:val="28"/>
          <w:szCs w:val="28"/>
        </w:rPr>
        <w:t xml:space="preserve"> Налогового кодекса Российской Федерации, а также объектов налогообложения, предусмотренных в </w:t>
      </w:r>
      <w:hyperlink r:id="rId8" w:history="1">
        <w:r>
          <w:rPr>
            <w:sz w:val="28"/>
            <w:szCs w:val="28"/>
          </w:rPr>
          <w:t>абзаце втором пункта 10 статьи 378.2</w:t>
        </w:r>
      </w:hyperlink>
      <w:r>
        <w:rPr>
          <w:sz w:val="28"/>
          <w:szCs w:val="28"/>
        </w:rPr>
        <w:t xml:space="preserve"> Налогового кодекса Российской Федерации (за исключением гаражей и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-мест, расположенных в таких объектах налогообложения), в случае превышения величины кадастровой стоимости таких объектов недвижимого имущества, внесенной в Единый государственный реестр недвижимости и подлежащей применению с 1 января 2024 года, над величиной кадастровой стоимости указанных объектов недвижимого имущества, внесенной в Единый государственный реестр недвижимости и подлежащей применению с 1 января 2023 года, имеют право на налоговую льготу за налоговые периоды 2024, 2025 и 2026 годов.</w:t>
      </w:r>
    </w:p>
    <w:p w:rsidR="00E02BFC" w:rsidRDefault="00E02BFC" w:rsidP="00E02BFC">
      <w:pPr>
        <w:pStyle w:val="a3"/>
        <w:ind w:left="567" w:firstLine="567"/>
      </w:pPr>
      <w:r>
        <w:rPr>
          <w:sz w:val="28"/>
          <w:szCs w:val="28"/>
        </w:rPr>
        <w:t xml:space="preserve">Налоговая льгота, предусмотренная в </w:t>
      </w:r>
      <w:hyperlink r:id="rId9" w:history="1">
        <w:r>
          <w:rPr>
            <w:sz w:val="28"/>
            <w:szCs w:val="28"/>
          </w:rPr>
          <w:t>части третьей</w:t>
        </w:r>
      </w:hyperlink>
      <w:r>
        <w:rPr>
          <w:sz w:val="28"/>
          <w:szCs w:val="28"/>
        </w:rPr>
        <w:t xml:space="preserve"> настоящего пункта, предоставляется при соблюдении условия:</w:t>
      </w:r>
    </w:p>
    <w:p w:rsidR="00E02BFC" w:rsidRDefault="00E02BFC" w:rsidP="00E02BFC">
      <w:pPr>
        <w:pStyle w:val="a3"/>
        <w:ind w:left="567" w:firstLine="567"/>
      </w:pPr>
      <w:r>
        <w:rPr>
          <w:sz w:val="28"/>
          <w:szCs w:val="28"/>
        </w:rPr>
        <w:t xml:space="preserve">за налоговый период 2024 года - сумма налога на имущество физических лиц, исчисленная исходя из кадастровой стоимости объекта недвижимого имущества (без учета положений </w:t>
      </w:r>
      <w:hyperlink r:id="rId10" w:history="1">
        <w:r>
          <w:rPr>
            <w:sz w:val="28"/>
            <w:szCs w:val="28"/>
          </w:rPr>
          <w:t>пунктов 4</w:t>
        </w:r>
      </w:hyperlink>
      <w:r>
        <w:rPr>
          <w:sz w:val="28"/>
          <w:szCs w:val="28"/>
        </w:rPr>
        <w:t xml:space="preserve">, </w:t>
      </w:r>
      <w:hyperlink r:id="rId11" w:history="1">
        <w:r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и </w:t>
      </w:r>
      <w:hyperlink r:id="rId12" w:history="1">
        <w:r>
          <w:rPr>
            <w:sz w:val="28"/>
            <w:szCs w:val="28"/>
          </w:rPr>
          <w:t>6 статьи 408</w:t>
        </w:r>
      </w:hyperlink>
      <w:r>
        <w:rPr>
          <w:sz w:val="28"/>
          <w:szCs w:val="28"/>
        </w:rPr>
        <w:t xml:space="preserve"> Налогового кодекса Российской Федерации), внесенной в Единый государственный реестр недвижимости и подлежащей применению с 1 января года налогового периода, превышает на 40 процентов (включительно) и более сумму налога, исчисленную исходя из кадастровой стоимости объекта недвижимого имущества (без учета положений </w:t>
      </w:r>
      <w:hyperlink r:id="rId13" w:history="1">
        <w:r>
          <w:rPr>
            <w:sz w:val="28"/>
            <w:szCs w:val="28"/>
          </w:rPr>
          <w:t>пунктов 4</w:t>
        </w:r>
      </w:hyperlink>
      <w:r>
        <w:rPr>
          <w:sz w:val="28"/>
          <w:szCs w:val="28"/>
        </w:rPr>
        <w:t xml:space="preserve">, </w:t>
      </w:r>
      <w:hyperlink r:id="rId14" w:history="1">
        <w:r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и </w:t>
      </w:r>
      <w:hyperlink r:id="rId15" w:history="1">
        <w:r>
          <w:rPr>
            <w:sz w:val="28"/>
            <w:szCs w:val="28"/>
          </w:rPr>
          <w:t>6 статьи 408</w:t>
        </w:r>
      </w:hyperlink>
      <w:r>
        <w:rPr>
          <w:sz w:val="28"/>
          <w:szCs w:val="28"/>
        </w:rPr>
        <w:t xml:space="preserve"> Налогового кодекса Российской Федерации), внесенной в Единый государственный реестр недвижимости и подлежащей применению с 1 января 2023 года;</w:t>
      </w:r>
    </w:p>
    <w:p w:rsidR="00E02BFC" w:rsidRDefault="00E02BFC" w:rsidP="00E02BFC">
      <w:pPr>
        <w:pStyle w:val="a3"/>
        <w:ind w:left="567" w:firstLine="567"/>
      </w:pPr>
      <w:r>
        <w:rPr>
          <w:sz w:val="28"/>
          <w:szCs w:val="28"/>
        </w:rPr>
        <w:t xml:space="preserve">за налоговый период 2025 года - сумма налога на имущество физических лиц, исчисленная исходя из кадастровой стоимости объекта недвижимого имущества (без учета положений </w:t>
      </w:r>
      <w:hyperlink r:id="rId16" w:history="1">
        <w:r>
          <w:rPr>
            <w:sz w:val="28"/>
            <w:szCs w:val="28"/>
          </w:rPr>
          <w:t>пунктов 4</w:t>
        </w:r>
      </w:hyperlink>
      <w:r>
        <w:rPr>
          <w:sz w:val="28"/>
          <w:szCs w:val="28"/>
        </w:rPr>
        <w:t xml:space="preserve">, </w:t>
      </w:r>
      <w:hyperlink r:id="rId17" w:history="1">
        <w:r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и </w:t>
      </w:r>
      <w:hyperlink r:id="rId18" w:history="1">
        <w:r>
          <w:rPr>
            <w:sz w:val="28"/>
            <w:szCs w:val="28"/>
          </w:rPr>
          <w:t>6 статьи 408</w:t>
        </w:r>
      </w:hyperlink>
      <w:r>
        <w:rPr>
          <w:sz w:val="28"/>
          <w:szCs w:val="28"/>
        </w:rPr>
        <w:t xml:space="preserve"> Налогового кодекса Российской Федерации), внесенной в Единый государственный реестр недвижимости и подлежащей применению с января года налогового периода, превышает на 70 процентов (включительно) и более сумму налога, исчисленную исходя из кадастровой стоимости объекта недвижимого имущества (без учета положений пунктов 4, 5 и 6 статьи 408 Налогового кодекса Российской Федерации), </w:t>
      </w:r>
      <w:r>
        <w:rPr>
          <w:sz w:val="28"/>
          <w:szCs w:val="28"/>
        </w:rPr>
        <w:lastRenderedPageBreak/>
        <w:t>внесенной в Единый государственный реестр недвижимости и подлежащей применению с 1 января 2023 года;</w:t>
      </w:r>
    </w:p>
    <w:p w:rsidR="00E02BFC" w:rsidRDefault="00E02BFC" w:rsidP="00E02BFC">
      <w:pPr>
        <w:pStyle w:val="a3"/>
        <w:ind w:left="567" w:firstLine="567"/>
      </w:pPr>
      <w:r>
        <w:rPr>
          <w:sz w:val="28"/>
          <w:szCs w:val="28"/>
        </w:rPr>
        <w:t xml:space="preserve">за налоговый период 2026 года - сумма налога на имущество физических лиц, исчисленная исходя из кадастровой стоимости объекта недвижимого имущества (без учета положений </w:t>
      </w:r>
      <w:hyperlink r:id="rId19" w:history="1">
        <w:r>
          <w:rPr>
            <w:sz w:val="28"/>
            <w:szCs w:val="28"/>
          </w:rPr>
          <w:t>пунктов 4</w:t>
        </w:r>
      </w:hyperlink>
      <w:r>
        <w:rPr>
          <w:sz w:val="28"/>
          <w:szCs w:val="28"/>
        </w:rPr>
        <w:t xml:space="preserve">, </w:t>
      </w:r>
      <w:hyperlink r:id="rId20" w:history="1">
        <w:r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и </w:t>
      </w:r>
      <w:hyperlink r:id="rId21" w:history="1">
        <w:r>
          <w:rPr>
            <w:sz w:val="28"/>
            <w:szCs w:val="28"/>
          </w:rPr>
          <w:t>6 статьи 408</w:t>
        </w:r>
      </w:hyperlink>
      <w:r>
        <w:rPr>
          <w:sz w:val="28"/>
          <w:szCs w:val="28"/>
        </w:rPr>
        <w:t xml:space="preserve"> Налогового кодекса Российской Федерации), внесенной в Единый государственный реестр недвижимости и подлежащей применению с 1 января года налогового периода, превышает на 100 процентов (включительно) и более сумму налога, исчисленную исходя из кадастровой стоимости объекта недвижимого имущества (без учета положений пунктов 4, 5 и 6 статьи 408 Налогового кодекса Российской Федерации), внесенной в Единый государственный реестр недвижимости и подлежащей применению с 1 января 2023 года.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bookmarkStart w:id="9" w:name="anchor213"/>
      <w:bookmarkEnd w:id="9"/>
      <w:r>
        <w:rPr>
          <w:sz w:val="28"/>
          <w:szCs w:val="28"/>
        </w:rPr>
        <w:t xml:space="preserve">Налоговая льгота предоставляется в виде уменьшения суммы налога на имущество физических лиц, подлежащей уплате в бюджет </w:t>
      </w:r>
      <w:proofErr w:type="spellStart"/>
      <w:r>
        <w:rPr>
          <w:sz w:val="28"/>
          <w:szCs w:val="28"/>
        </w:rPr>
        <w:t>Парапинского</w:t>
      </w:r>
      <w:proofErr w:type="spellEnd"/>
      <w:r>
        <w:rPr>
          <w:sz w:val="28"/>
          <w:szCs w:val="28"/>
        </w:rPr>
        <w:t xml:space="preserve"> сельского поселения, на величину, рассчитываемую за налоговые периоды 2024, 2025 и 2026 годов по следующим формулам: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за налоговый период 2024 года:</w:t>
      </w:r>
    </w:p>
    <w:p w:rsidR="00E02BFC" w:rsidRDefault="00E02BFC" w:rsidP="00E02BFC">
      <w:pPr>
        <w:pStyle w:val="a3"/>
      </w:pPr>
    </w:p>
    <w:p w:rsidR="00E02BFC" w:rsidRDefault="00E02BFC" w:rsidP="00E02BFC">
      <w:pPr>
        <w:pStyle w:val="a3"/>
      </w:pPr>
      <w:r>
        <w:rPr>
          <w:noProof/>
        </w:rPr>
        <w:drawing>
          <wp:inline distT="0" distB="0" distL="0" distR="0" wp14:anchorId="5B51C405" wp14:editId="6AD9DE36">
            <wp:extent cx="2267995" cy="431999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7995" cy="4319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02BFC" w:rsidRDefault="00E02BFC" w:rsidP="00E02BFC">
      <w:pPr>
        <w:pStyle w:val="a3"/>
      </w:pPr>
      <w:r>
        <w:t>за налоговый период 2025 года:</w:t>
      </w:r>
    </w:p>
    <w:p w:rsidR="00E02BFC" w:rsidRDefault="00E02BFC" w:rsidP="00E02BFC">
      <w:pPr>
        <w:pStyle w:val="a3"/>
      </w:pPr>
      <w:r>
        <w:rPr>
          <w:noProof/>
        </w:rPr>
        <w:drawing>
          <wp:inline distT="0" distB="0" distL="0" distR="0" wp14:anchorId="432EBB1F" wp14:editId="72CD77B0">
            <wp:extent cx="2267995" cy="431999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7995" cy="4319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02BFC" w:rsidRDefault="00E02BFC" w:rsidP="00E02BFC">
      <w:pPr>
        <w:pStyle w:val="a3"/>
      </w:pPr>
      <w:r>
        <w:t>за налоговый период 2026 года:</w:t>
      </w:r>
    </w:p>
    <w:p w:rsidR="00E02BFC" w:rsidRDefault="00E02BFC" w:rsidP="00E02BFC">
      <w:pPr>
        <w:pStyle w:val="a3"/>
      </w:pPr>
      <w:r>
        <w:rPr>
          <w:noProof/>
        </w:rPr>
        <w:drawing>
          <wp:inline distT="0" distB="0" distL="0" distR="0" wp14:anchorId="4F759C90" wp14:editId="6E042371">
            <wp:extent cx="2267995" cy="431999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7995" cy="4319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02BFC" w:rsidRDefault="00E02BFC" w:rsidP="00E02BFC">
      <w:pPr>
        <w:pStyle w:val="a3"/>
      </w:pP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НЛ - размер налоговой льготы, на которую уменьшается сумма налога на имущество физических лиц, исчисленная за 2024, 2025 и 2026 годы соответственно;</w:t>
      </w:r>
    </w:p>
    <w:p w:rsidR="00E02BFC" w:rsidRDefault="00E02BFC" w:rsidP="00E02BFC">
      <w:pPr>
        <w:pStyle w:val="a3"/>
        <w:ind w:left="567" w:firstLine="567"/>
      </w:pPr>
      <w:r>
        <w:rPr>
          <w:sz w:val="28"/>
          <w:szCs w:val="28"/>
        </w:rPr>
        <w:t xml:space="preserve">Н2023 - сумма налога на имущество физических лиц, рассчитанная за налоговый период 2023 года (без учета положений </w:t>
      </w:r>
      <w:hyperlink r:id="rId25" w:history="1">
        <w:r>
          <w:rPr>
            <w:sz w:val="28"/>
            <w:szCs w:val="28"/>
          </w:rPr>
          <w:t>пунктов 4</w:t>
        </w:r>
      </w:hyperlink>
      <w:r>
        <w:rPr>
          <w:sz w:val="28"/>
          <w:szCs w:val="28"/>
        </w:rPr>
        <w:t xml:space="preserve">, </w:t>
      </w:r>
      <w:hyperlink r:id="rId26" w:history="1">
        <w:r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и </w:t>
      </w:r>
      <w:hyperlink r:id="rId27" w:history="1">
        <w:r>
          <w:rPr>
            <w:sz w:val="28"/>
            <w:szCs w:val="28"/>
          </w:rPr>
          <w:t>6 статьи 408</w:t>
        </w:r>
      </w:hyperlink>
      <w:r>
        <w:rPr>
          <w:sz w:val="28"/>
          <w:szCs w:val="28"/>
        </w:rPr>
        <w:t xml:space="preserve"> Налогового кодекса Российской Федерации) в отношении объекта кадастровая стоимость, недвижимого имущества, налоговая база по которому определена как недвижимости и подлежащая применению с 1 января 2023 года;</w:t>
      </w:r>
    </w:p>
    <w:p w:rsidR="00E02BFC" w:rsidRDefault="00E02BFC" w:rsidP="00E02BFC">
      <w:pPr>
        <w:pStyle w:val="a3"/>
        <w:ind w:left="567" w:firstLine="567"/>
      </w:pPr>
      <w:r>
        <w:rPr>
          <w:sz w:val="28"/>
          <w:szCs w:val="28"/>
        </w:rPr>
        <w:t xml:space="preserve">Н2024 - сумма налога на имущество физических лиц, рассчитанная за налоговый период 2024 года (без учета положений </w:t>
      </w:r>
      <w:hyperlink r:id="rId28" w:history="1">
        <w:r>
          <w:rPr>
            <w:sz w:val="28"/>
            <w:szCs w:val="28"/>
          </w:rPr>
          <w:t>пунктов 4</w:t>
        </w:r>
      </w:hyperlink>
      <w:r>
        <w:rPr>
          <w:sz w:val="28"/>
          <w:szCs w:val="28"/>
        </w:rPr>
        <w:t xml:space="preserve">, </w:t>
      </w:r>
      <w:hyperlink r:id="rId29" w:history="1">
        <w:r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и </w:t>
      </w:r>
      <w:hyperlink r:id="rId30" w:history="1">
        <w:r>
          <w:rPr>
            <w:sz w:val="28"/>
            <w:szCs w:val="28"/>
          </w:rPr>
          <w:t>6 статьи 408</w:t>
        </w:r>
      </w:hyperlink>
      <w:r>
        <w:rPr>
          <w:sz w:val="28"/>
          <w:szCs w:val="28"/>
        </w:rPr>
        <w:t xml:space="preserve"> Налогового кодекса Российской Федерации) в отношении объекта недвижимого имущества, налоговая база по которому определена как кадастровая стоимость, внесенная в Единый государственный реестр недвижимости и подлежащая применению с 1 января года налогового периода;</w:t>
      </w:r>
    </w:p>
    <w:p w:rsidR="00E02BFC" w:rsidRDefault="00E02BFC" w:rsidP="00E02BFC">
      <w:pPr>
        <w:pStyle w:val="a3"/>
        <w:ind w:left="567" w:firstLine="567"/>
      </w:pPr>
      <w:r>
        <w:rPr>
          <w:sz w:val="28"/>
          <w:szCs w:val="28"/>
        </w:rPr>
        <w:t xml:space="preserve">Н2025 - сумма налога на имущество физических лиц, рассчитанная за налоговый период 2025 года (без учета положений </w:t>
      </w:r>
      <w:hyperlink r:id="rId31" w:history="1">
        <w:r>
          <w:rPr>
            <w:sz w:val="28"/>
            <w:szCs w:val="28"/>
          </w:rPr>
          <w:t>пунктов 4</w:t>
        </w:r>
      </w:hyperlink>
      <w:r>
        <w:rPr>
          <w:sz w:val="28"/>
          <w:szCs w:val="28"/>
        </w:rPr>
        <w:t xml:space="preserve">, </w:t>
      </w:r>
      <w:hyperlink r:id="rId32" w:history="1">
        <w:r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и </w:t>
      </w:r>
      <w:hyperlink r:id="rId33" w:history="1">
        <w:r>
          <w:rPr>
            <w:sz w:val="28"/>
            <w:szCs w:val="28"/>
          </w:rPr>
          <w:t>6 статьи 408</w:t>
        </w:r>
      </w:hyperlink>
      <w:r>
        <w:rPr>
          <w:sz w:val="28"/>
          <w:szCs w:val="28"/>
        </w:rPr>
        <w:t xml:space="preserve"> Налогового кодекса Российской Федерации) в отношении объекта недвижимого имущества, налоговая база по которому определена как кадастровая стоимость, </w:t>
      </w:r>
      <w:r>
        <w:rPr>
          <w:sz w:val="28"/>
          <w:szCs w:val="28"/>
        </w:rPr>
        <w:lastRenderedPageBreak/>
        <w:t>внесенная в Единый государственный реестр недвижимости и подлежащая применению с 1 января года налогового периода;</w:t>
      </w:r>
    </w:p>
    <w:p w:rsidR="00E02BFC" w:rsidRDefault="00E02BFC" w:rsidP="00E02BFC">
      <w:pPr>
        <w:pStyle w:val="a3"/>
        <w:ind w:left="567" w:firstLine="567"/>
      </w:pPr>
      <w:r>
        <w:rPr>
          <w:sz w:val="28"/>
          <w:szCs w:val="28"/>
        </w:rPr>
        <w:t xml:space="preserve">Н2026 - сумма налога на имущество физических лиц, рассчитанная за налоговый период 2026 года (без учета положений </w:t>
      </w:r>
      <w:hyperlink r:id="rId34" w:history="1">
        <w:r>
          <w:rPr>
            <w:sz w:val="28"/>
            <w:szCs w:val="28"/>
          </w:rPr>
          <w:t>пунктов 4</w:t>
        </w:r>
      </w:hyperlink>
      <w:r>
        <w:rPr>
          <w:sz w:val="28"/>
          <w:szCs w:val="28"/>
        </w:rPr>
        <w:t xml:space="preserve">, </w:t>
      </w:r>
      <w:hyperlink r:id="rId35" w:history="1">
        <w:r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и </w:t>
      </w:r>
      <w:hyperlink r:id="rId36" w:history="1">
        <w:r>
          <w:rPr>
            <w:sz w:val="28"/>
            <w:szCs w:val="28"/>
          </w:rPr>
          <w:t>6 статьи 408</w:t>
        </w:r>
      </w:hyperlink>
      <w:r>
        <w:rPr>
          <w:sz w:val="28"/>
          <w:szCs w:val="28"/>
        </w:rPr>
        <w:t xml:space="preserve"> Налогового кодекса Российской Федерации) в отношении объекта недвижимого имущества, налоговая база по которому определена как кадастровая стоимость, внесенная в Единый государственный реестр недвижимости и подлежащая применению с 1 января года налогового периода;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d - доля в праве собственности на объект недвижимого имущества в налоговом периоде, в котором у налогоплательщика имелось право на применение налоговой льготы;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n - количество полных месяцев владения объектом недвижимого имущества в налоговом периоде, в котором у налогоплательщика имелось право на применение налоговой льготы.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В целях настоящего пункта показатели Н2023, Н2024, Н2025 и Н2026 рассчитываются без учета льгот по налогу на имущество физических лиц, право на применение которых предоставлено физическим лицам, являющимся плательщиками налога на имущество физических лиц, в соответствующих налоговых периодах.</w:t>
      </w:r>
    </w:p>
    <w:p w:rsidR="00E02BFC" w:rsidRDefault="00E02BFC" w:rsidP="00E02BFC">
      <w:pPr>
        <w:pStyle w:val="a3"/>
        <w:ind w:left="567" w:firstLine="567"/>
      </w:pPr>
      <w:bookmarkStart w:id="10" w:name="anchor3"/>
      <w:bookmarkEnd w:id="10"/>
      <w:r>
        <w:rPr>
          <w:sz w:val="28"/>
          <w:szCs w:val="28"/>
        </w:rPr>
        <w:t xml:space="preserve">4. Налогоплательщики, объекты налогообложения, налоговая база, налоговый период, налоговые льготы, сроки уплаты, порядок исчисления суммы налога определяются </w:t>
      </w:r>
      <w:hyperlink r:id="rId37" w:history="1">
        <w:r>
          <w:rPr>
            <w:sz w:val="28"/>
            <w:szCs w:val="28"/>
          </w:rPr>
          <w:t>главой 32</w:t>
        </w:r>
      </w:hyperlink>
      <w:r>
        <w:rPr>
          <w:sz w:val="28"/>
          <w:szCs w:val="28"/>
        </w:rPr>
        <w:t>. «Налог на имущество физических лиц» Налогового кодекса Российской Федерации.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5. Освободить от уплаты налога на имущество физических лиц в отношении жилого дома, части жилого дома, жилого помещения (квартира, часть квартиры, комната), не используемого в предпринимательской деятельности, следующие категории налогоплательщиков:</w:t>
      </w:r>
    </w:p>
    <w:p w:rsidR="00E02BFC" w:rsidRDefault="00E02BFC" w:rsidP="00E02BFC">
      <w:pPr>
        <w:pStyle w:val="a3"/>
        <w:ind w:left="567" w:firstLine="567"/>
      </w:pPr>
      <w:bookmarkStart w:id="11" w:name="anchor442"/>
      <w:bookmarkEnd w:id="11"/>
      <w:r>
        <w:rPr>
          <w:sz w:val="28"/>
          <w:szCs w:val="28"/>
        </w:rPr>
        <w:t xml:space="preserve">1) членов семей, имеющих трех и более детей в возрасте до 18 лет - собственников имущества, указанного в </w:t>
      </w:r>
      <w:hyperlink r:id="rId38" w:history="1">
        <w:r>
          <w:rPr>
            <w:sz w:val="28"/>
            <w:szCs w:val="28"/>
          </w:rPr>
          <w:t>абзаце первом</w:t>
        </w:r>
      </w:hyperlink>
      <w:r>
        <w:rPr>
          <w:sz w:val="28"/>
          <w:szCs w:val="28"/>
        </w:rPr>
        <w:t>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2) граждане Российской Федерации, принимающие участие в специальной военной операции: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Федерации»;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проходящие военную службу в Вооруженных Силах Российской Федерации по контракту;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заключившие контракт о добровольном содействии в выполнении задач, возложенных на Вооруженные силы Российской Федерации.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3) члены семей лиц, указанных в подпункте </w:t>
      </w:r>
      <w:proofErr w:type="gramStart"/>
      <w:r>
        <w:rPr>
          <w:sz w:val="28"/>
          <w:szCs w:val="28"/>
        </w:rPr>
        <w:t>2  настоящего</w:t>
      </w:r>
      <w:proofErr w:type="gramEnd"/>
      <w:r>
        <w:rPr>
          <w:sz w:val="28"/>
          <w:szCs w:val="28"/>
        </w:rPr>
        <w:t xml:space="preserve"> пункта;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К членам семей, указанных в подпункте 2 пункта 5, относятся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Членам семей лиц, указанных в подпункте 2 пункта 4 соответствующая налоговая льгота предоставляется только за период участия указанных лиц в специальной военной операции (при выполнении задач в период проведения специальной военной операции).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bookmarkStart w:id="12" w:name="anchor42"/>
      <w:bookmarkEnd w:id="12"/>
      <w:r>
        <w:rPr>
          <w:sz w:val="28"/>
          <w:szCs w:val="28"/>
        </w:rPr>
        <w:t>Физические лица,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 налоговую льготу.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bookmarkStart w:id="13" w:name="anchor41"/>
      <w:bookmarkEnd w:id="13"/>
      <w:r>
        <w:rPr>
          <w:sz w:val="28"/>
          <w:szCs w:val="28"/>
        </w:rPr>
        <w:t>6. Уведомление о выбранных объектах налогообложения, в отношении которых предоставляется налоговая льгота,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указанных объектов применяется налоговая льгота.</w:t>
      </w:r>
    </w:p>
    <w:p w:rsidR="00E02BFC" w:rsidRDefault="00E02BFC" w:rsidP="00E02BFC">
      <w:pPr>
        <w:pStyle w:val="a3"/>
        <w:ind w:left="567" w:firstLine="567"/>
      </w:pPr>
      <w:bookmarkStart w:id="14" w:name="anchor4"/>
      <w:bookmarkEnd w:id="14"/>
      <w:r>
        <w:rPr>
          <w:sz w:val="28"/>
          <w:szCs w:val="28"/>
        </w:rPr>
        <w:t xml:space="preserve">7. Признать утратившим силу решение Совета депутатов </w:t>
      </w:r>
      <w:proofErr w:type="spellStart"/>
      <w:r>
        <w:rPr>
          <w:sz w:val="28"/>
          <w:szCs w:val="28"/>
        </w:rPr>
        <w:t>Парапинского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Ковылкинского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от </w:t>
      </w:r>
      <w:r>
        <w:rPr>
          <w:sz w:val="28"/>
          <w:szCs w:val="28"/>
          <w:shd w:val="clear" w:color="auto" w:fill="FFFF00"/>
        </w:rPr>
        <w:t>28 ноября 2019</w:t>
      </w:r>
      <w:proofErr w:type="gramStart"/>
      <w:r>
        <w:rPr>
          <w:sz w:val="28"/>
          <w:szCs w:val="28"/>
          <w:shd w:val="clear" w:color="auto" w:fill="FFFF00"/>
        </w:rPr>
        <w:t>г.«</w:t>
      </w:r>
      <w:proofErr w:type="gramEnd"/>
      <w:r>
        <w:rPr>
          <w:sz w:val="28"/>
          <w:szCs w:val="28"/>
        </w:rPr>
        <w:t>О налоге на имущество физических лиц» с изменениями от  07июня 2024 г. №1.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  <w:r>
        <w:rPr>
          <w:sz w:val="28"/>
          <w:szCs w:val="28"/>
        </w:rPr>
        <w:t>8.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 по земельному налогу и распространяет свое действие на правоотношения возникшие с 1 января 2026 года.</w:t>
      </w:r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</w:p>
    <w:p w:rsidR="00E02BFC" w:rsidRDefault="00E02BFC" w:rsidP="00E02BFC">
      <w:pPr>
        <w:pStyle w:val="a3"/>
        <w:ind w:left="567" w:firstLine="0"/>
        <w:rPr>
          <w:b/>
          <w:sz w:val="28"/>
          <w:szCs w:val="28"/>
        </w:rPr>
      </w:pPr>
    </w:p>
    <w:p w:rsidR="00E02BFC" w:rsidRDefault="00E02BFC" w:rsidP="00E02BFC">
      <w:pPr>
        <w:pStyle w:val="a3"/>
        <w:ind w:left="567" w:firstLine="0"/>
        <w:rPr>
          <w:b/>
          <w:sz w:val="28"/>
          <w:szCs w:val="28"/>
        </w:rPr>
      </w:pPr>
    </w:p>
    <w:p w:rsidR="00E02BFC" w:rsidRDefault="00E02BFC" w:rsidP="00E02BFC">
      <w:pPr>
        <w:pStyle w:val="a3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Парапинского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E02BFC" w:rsidRDefault="00E02BFC" w:rsidP="00E02BFC">
      <w:pPr>
        <w:pStyle w:val="a3"/>
        <w:ind w:left="567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Ковылкинского</w:t>
      </w:r>
      <w:proofErr w:type="spellEnd"/>
      <w:r>
        <w:rPr>
          <w:sz w:val="28"/>
          <w:szCs w:val="28"/>
        </w:rPr>
        <w:t xml:space="preserve"> муниципального района                                           </w:t>
      </w:r>
      <w:proofErr w:type="spellStart"/>
      <w:r>
        <w:rPr>
          <w:sz w:val="28"/>
          <w:szCs w:val="28"/>
        </w:rPr>
        <w:t>Е.Е.Кечина</w:t>
      </w:r>
      <w:proofErr w:type="spellEnd"/>
    </w:p>
    <w:p w:rsidR="00E02BFC" w:rsidRDefault="00E02BFC" w:rsidP="00E02BFC">
      <w:pPr>
        <w:pStyle w:val="a3"/>
        <w:ind w:left="567" w:firstLine="567"/>
        <w:rPr>
          <w:sz w:val="28"/>
          <w:szCs w:val="28"/>
        </w:rPr>
      </w:pPr>
    </w:p>
    <w:p w:rsidR="00381404" w:rsidRDefault="00381404">
      <w:bookmarkStart w:id="15" w:name="_GoBack"/>
      <w:bookmarkEnd w:id="15"/>
    </w:p>
    <w:sectPr w:rsidR="00381404">
      <w:headerReference w:type="default" r:id="rId39"/>
      <w:footerReference w:type="default" r:id="rId40"/>
      <w:pgSz w:w="11906" w:h="16838"/>
      <w:pgMar w:top="794" w:right="794" w:bottom="794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6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"/>
    </w:tblGrid>
    <w:tr w:rsidR="0015631C">
      <w:tblPrEx>
        <w:tblCellMar>
          <w:top w:w="0" w:type="dxa"/>
          <w:bottom w:w="0" w:type="dxa"/>
        </w:tblCellMar>
      </w:tblPrEx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15631C" w:rsidRDefault="00E02BFC">
          <w:pPr>
            <w:pStyle w:val="Standard"/>
            <w:ind w:firstLine="0"/>
            <w:jc w:val="left"/>
          </w:pPr>
        </w:p>
      </w:tc>
    </w:tr>
  </w:tbl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31C" w:rsidRDefault="00E02BFC">
    <w:pPr>
      <w:pStyle w:val="Standard"/>
      <w:ind w:firstLine="0"/>
      <w:jc w:val="left"/>
    </w:pPr>
  </w:p>
  <w:p w:rsidR="0015631C" w:rsidRDefault="00E02BFC">
    <w:pPr>
      <w:pStyle w:val="Standard"/>
      <w:ind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3E"/>
    <w:rsid w:val="00191C3E"/>
    <w:rsid w:val="00381404"/>
    <w:rsid w:val="00E0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50533-2BEE-4985-A8FC-080C5C967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2BFC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02BFC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3">
    <w:name w:val="Нормальный"/>
    <w:basedOn w:val="Standard"/>
    <w:rsid w:val="00E0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900200/3782102" TargetMode="External"/><Relationship Id="rId13" Type="http://schemas.openxmlformats.org/officeDocument/2006/relationships/hyperlink" Target="https://internet.garant.ru/document/redirect/10900200/40804" TargetMode="External"/><Relationship Id="rId18" Type="http://schemas.openxmlformats.org/officeDocument/2006/relationships/hyperlink" Target="https://internet.garant.ru/document/redirect/10900200/40806" TargetMode="External"/><Relationship Id="rId26" Type="http://schemas.openxmlformats.org/officeDocument/2006/relationships/hyperlink" Target="https://internet.garant.ru/document/redirect/10900200/40805" TargetMode="External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document/redirect/10900200/40806" TargetMode="External"/><Relationship Id="rId34" Type="http://schemas.openxmlformats.org/officeDocument/2006/relationships/hyperlink" Target="https://internet.garant.ru/document/redirect/10900200/4080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internet.garant.ru/document/redirect/10900200/37827" TargetMode="External"/><Relationship Id="rId12" Type="http://schemas.openxmlformats.org/officeDocument/2006/relationships/hyperlink" Target="https://internet.garant.ru/document/redirect/10900200/40806" TargetMode="External"/><Relationship Id="rId17" Type="http://schemas.openxmlformats.org/officeDocument/2006/relationships/hyperlink" Target="https://internet.garant.ru/document/redirect/10900200/40805" TargetMode="External"/><Relationship Id="rId25" Type="http://schemas.openxmlformats.org/officeDocument/2006/relationships/hyperlink" Target="https://internet.garant.ru/document/redirect/10900200/40804" TargetMode="External"/><Relationship Id="rId33" Type="http://schemas.openxmlformats.org/officeDocument/2006/relationships/hyperlink" Target="https://internet.garant.ru/document/redirect/10900200/40806" TargetMode="External"/><Relationship Id="rId38" Type="http://schemas.openxmlformats.org/officeDocument/2006/relationships/hyperlink" Target="#anchor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document/redirect/10900200/40804" TargetMode="External"/><Relationship Id="rId20" Type="http://schemas.openxmlformats.org/officeDocument/2006/relationships/hyperlink" Target="https://internet.garant.ru/document/redirect/10900200/40805" TargetMode="External"/><Relationship Id="rId29" Type="http://schemas.openxmlformats.org/officeDocument/2006/relationships/hyperlink" Target="https://internet.garant.ru/document/redirect/10900200/40805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0900200/3782102" TargetMode="External"/><Relationship Id="rId11" Type="http://schemas.openxmlformats.org/officeDocument/2006/relationships/hyperlink" Target="https://internet.garant.ru/document/redirect/10900200/40805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s://internet.garant.ru/document/redirect/10900200/40805" TargetMode="External"/><Relationship Id="rId37" Type="http://schemas.openxmlformats.org/officeDocument/2006/relationships/hyperlink" Target="https://internet.garant.ru/document/redirect/10900200/20032" TargetMode="External"/><Relationship Id="rId40" Type="http://schemas.openxmlformats.org/officeDocument/2006/relationships/footer" Target="footer1.xml"/><Relationship Id="rId5" Type="http://schemas.openxmlformats.org/officeDocument/2006/relationships/hyperlink" Target="https://internet.garant.ru/document/redirect/10900200/37827" TargetMode="External"/><Relationship Id="rId15" Type="http://schemas.openxmlformats.org/officeDocument/2006/relationships/hyperlink" Target="https://internet.garant.ru/document/redirect/10900200/40806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s://internet.garant.ru/document/redirect/10900200/40804" TargetMode="External"/><Relationship Id="rId36" Type="http://schemas.openxmlformats.org/officeDocument/2006/relationships/hyperlink" Target="https://internet.garant.ru/document/redirect/10900200/40806" TargetMode="External"/><Relationship Id="rId10" Type="http://schemas.openxmlformats.org/officeDocument/2006/relationships/hyperlink" Target="https://internet.garant.ru/document/redirect/10900200/40804" TargetMode="External"/><Relationship Id="rId19" Type="http://schemas.openxmlformats.org/officeDocument/2006/relationships/hyperlink" Target="https://internet.garant.ru/document/redirect/10900200/40804" TargetMode="External"/><Relationship Id="rId31" Type="http://schemas.openxmlformats.org/officeDocument/2006/relationships/hyperlink" Target="https://internet.garant.ru/document/redirect/10900200/40804" TargetMode="External"/><Relationship Id="rId4" Type="http://schemas.openxmlformats.org/officeDocument/2006/relationships/hyperlink" Target="#anchor204" TargetMode="External"/><Relationship Id="rId9" Type="http://schemas.openxmlformats.org/officeDocument/2006/relationships/hyperlink" Target="#anchor213" TargetMode="External"/><Relationship Id="rId14" Type="http://schemas.openxmlformats.org/officeDocument/2006/relationships/hyperlink" Target="https://internet.garant.ru/document/redirect/10900200/40805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internet.garant.ru/document/redirect/10900200/40806" TargetMode="External"/><Relationship Id="rId30" Type="http://schemas.openxmlformats.org/officeDocument/2006/relationships/hyperlink" Target="https://internet.garant.ru/document/redirect/10900200/40806" TargetMode="External"/><Relationship Id="rId35" Type="http://schemas.openxmlformats.org/officeDocument/2006/relationships/hyperlink" Target="https://internet.garant.ru/document/redirect/10900200/40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2073</Words>
  <Characters>11822</Characters>
  <Application>Microsoft Office Word</Application>
  <DocSecurity>0</DocSecurity>
  <Lines>98</Lines>
  <Paragraphs>27</Paragraphs>
  <ScaleCrop>false</ScaleCrop>
  <Company/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2026-02-18T07:24:00Z</dcterms:created>
  <dcterms:modified xsi:type="dcterms:W3CDTF">2026-02-18T07:24:00Z</dcterms:modified>
</cp:coreProperties>
</file>